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75" w:rsidRDefault="000E5175" w:rsidP="008113C0">
      <w:pPr>
        <w:rPr>
          <w:b/>
          <w:sz w:val="24"/>
          <w:szCs w:val="24"/>
        </w:rPr>
      </w:pPr>
    </w:p>
    <w:p w:rsidR="000E5175" w:rsidRDefault="000E5175" w:rsidP="008113C0">
      <w:pPr>
        <w:rPr>
          <w:b/>
          <w:sz w:val="24"/>
          <w:szCs w:val="24"/>
        </w:rPr>
      </w:pPr>
    </w:p>
    <w:p w:rsidR="008113C0" w:rsidRPr="008113C0" w:rsidRDefault="008113C0" w:rsidP="008113C0">
      <w:pPr>
        <w:rPr>
          <w:b/>
          <w:sz w:val="24"/>
          <w:szCs w:val="24"/>
        </w:rPr>
      </w:pPr>
      <w:r w:rsidRPr="008113C0">
        <w:rPr>
          <w:b/>
          <w:sz w:val="24"/>
          <w:szCs w:val="24"/>
        </w:rPr>
        <w:t>London Anchor Institution Metrics - selection of NWL Anchor metrics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70"/>
        <w:gridCol w:w="4379"/>
        <w:gridCol w:w="4678"/>
        <w:gridCol w:w="3321"/>
      </w:tblGrid>
      <w:tr w:rsidR="008113C0" w:rsidRPr="008113C0" w:rsidTr="00BB339D">
        <w:tc>
          <w:tcPr>
            <w:tcW w:w="1570" w:type="dxa"/>
            <w:shd w:val="clear" w:color="auto" w:fill="0070C0"/>
          </w:tcPr>
          <w:p w:rsidR="008113C0" w:rsidRPr="008113C0" w:rsidRDefault="008113C0" w:rsidP="008113C0">
            <w:pPr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Pillars </w:t>
            </w:r>
          </w:p>
          <w:p w:rsidR="008113C0" w:rsidRPr="008113C0" w:rsidRDefault="008113C0" w:rsidP="008113C0">
            <w:pPr>
              <w:rPr>
                <w:b/>
                <w:color w:val="FFFFFF" w:themeColor="background1"/>
              </w:rPr>
            </w:pPr>
          </w:p>
        </w:tc>
        <w:tc>
          <w:tcPr>
            <w:tcW w:w="4379" w:type="dxa"/>
            <w:shd w:val="clear" w:color="auto" w:fill="0070C0"/>
          </w:tcPr>
          <w:p w:rsidR="008113C0" w:rsidRPr="008113C0" w:rsidRDefault="008113C0" w:rsidP="008113C0">
            <w:pPr>
              <w:jc w:val="center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Indicators</w:t>
            </w:r>
          </w:p>
        </w:tc>
        <w:tc>
          <w:tcPr>
            <w:tcW w:w="4678" w:type="dxa"/>
            <w:shd w:val="clear" w:color="auto" w:fill="0070C0"/>
          </w:tcPr>
          <w:p w:rsidR="008113C0" w:rsidRPr="008113C0" w:rsidRDefault="008113C0" w:rsidP="008113C0">
            <w:pPr>
              <w:jc w:val="center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Community Leaders voice</w:t>
            </w:r>
          </w:p>
        </w:tc>
        <w:tc>
          <w:tcPr>
            <w:tcW w:w="3321" w:type="dxa"/>
            <w:shd w:val="clear" w:color="auto" w:fill="0070C0"/>
          </w:tcPr>
          <w:p w:rsidR="008113C0" w:rsidRPr="008113C0" w:rsidRDefault="008113C0" w:rsidP="008113C0">
            <w:pPr>
              <w:jc w:val="center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</w:t>
            </w:r>
            <w:r>
              <w:rPr>
                <w:b/>
                <w:color w:val="FFFFFF" w:themeColor="background1"/>
              </w:rPr>
              <w:t>Leads</w:t>
            </w:r>
          </w:p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Employment </w:t>
            </w:r>
          </w:p>
        </w:tc>
        <w:tc>
          <w:tcPr>
            <w:tcW w:w="4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Participation in pre-work programmes - for example, volunteering, internships or work placements </w:t>
            </w:r>
          </w:p>
          <w:p w:rsidR="008113C0" w:rsidRPr="008113C0" w:rsidRDefault="008113C0" w:rsidP="008113C0"/>
        </w:tc>
        <w:tc>
          <w:tcPr>
            <w:tcW w:w="4678" w:type="dxa"/>
          </w:tcPr>
          <w:p w:rsidR="008113C0" w:rsidRPr="008113C0" w:rsidRDefault="008113C0" w:rsidP="008113C0">
            <w:r w:rsidRPr="008113C0">
              <w:t xml:space="preserve">Targeted educational awareness for people with SEND to access work </w:t>
            </w:r>
          </w:p>
        </w:tc>
        <w:tc>
          <w:tcPr>
            <w:tcW w:w="3321" w:type="dxa"/>
          </w:tcPr>
          <w:p w:rsidR="008113C0" w:rsidRPr="008113C0" w:rsidRDefault="008113C0" w:rsidP="008113C0"/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>
            <w:r w:rsidRPr="008113C0">
              <w:t xml:space="preserve">Employment </w:t>
            </w:r>
          </w:p>
        </w:tc>
        <w:tc>
          <w:tcPr>
            <w:tcW w:w="4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Proportion of those participating in pre-work programmes who are from local and/or target populations </w:t>
            </w:r>
          </w:p>
          <w:p w:rsidR="008113C0" w:rsidRPr="008113C0" w:rsidRDefault="008113C0" w:rsidP="008113C0"/>
        </w:tc>
        <w:tc>
          <w:tcPr>
            <w:tcW w:w="4678" w:type="dxa"/>
          </w:tcPr>
          <w:p w:rsidR="008113C0" w:rsidRPr="008113C0" w:rsidRDefault="008113C0" w:rsidP="008113C0">
            <w:r w:rsidRPr="008113C0">
              <w:t>Support people with building the skills they need to access work</w:t>
            </w:r>
          </w:p>
        </w:tc>
        <w:tc>
          <w:tcPr>
            <w:tcW w:w="3321" w:type="dxa"/>
          </w:tcPr>
          <w:p w:rsidR="008113C0" w:rsidRPr="008113C0" w:rsidRDefault="008113C0" w:rsidP="008113C0"/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>
            <w:r w:rsidRPr="008113C0">
              <w:t xml:space="preserve">Employment </w:t>
            </w:r>
          </w:p>
        </w:tc>
        <w:tc>
          <w:tcPr>
            <w:tcW w:w="4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Proportion of people recruited into employment in the trust out of those participating in pre-work programmes </w:t>
            </w:r>
          </w:p>
          <w:p w:rsidR="008113C0" w:rsidRPr="008113C0" w:rsidRDefault="008113C0" w:rsidP="008113C0"/>
        </w:tc>
        <w:tc>
          <w:tcPr>
            <w:tcW w:w="4678" w:type="dxa"/>
          </w:tcPr>
          <w:p w:rsidR="008113C0" w:rsidRPr="008113C0" w:rsidRDefault="008113C0" w:rsidP="008113C0">
            <w:r w:rsidRPr="008113C0">
              <w:t xml:space="preserve">Provide volunteering for people to acquire healthcare skills that leads to employment </w:t>
            </w:r>
          </w:p>
        </w:tc>
        <w:tc>
          <w:tcPr>
            <w:tcW w:w="3321" w:type="dxa"/>
          </w:tcPr>
          <w:p w:rsidR="008113C0" w:rsidRPr="008113C0" w:rsidRDefault="008113C0" w:rsidP="008113C0"/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>
            <w:r w:rsidRPr="008113C0">
              <w:t>Employment</w:t>
            </w:r>
          </w:p>
        </w:tc>
        <w:tc>
          <w:tcPr>
            <w:tcW w:w="4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Proportion of local people and/or those from target populations who are recruited into employment in the trust out of those participating in pre-work programmes </w:t>
            </w:r>
          </w:p>
          <w:p w:rsidR="008113C0" w:rsidRPr="008113C0" w:rsidRDefault="008113C0" w:rsidP="008113C0"/>
        </w:tc>
        <w:tc>
          <w:tcPr>
            <w:tcW w:w="4678" w:type="dxa"/>
          </w:tcPr>
          <w:p w:rsidR="008113C0" w:rsidRPr="008113C0" w:rsidRDefault="008113C0" w:rsidP="008113C0"/>
        </w:tc>
        <w:tc>
          <w:tcPr>
            <w:tcW w:w="3321" w:type="dxa"/>
          </w:tcPr>
          <w:p w:rsidR="008113C0" w:rsidRPr="008113C0" w:rsidRDefault="008113C0" w:rsidP="008113C0"/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>
            <w:r w:rsidRPr="008113C0">
              <w:t xml:space="preserve">Employment </w:t>
            </w:r>
          </w:p>
          <w:p w:rsidR="008113C0" w:rsidRPr="008113C0" w:rsidRDefault="008113C0" w:rsidP="008113C0"/>
        </w:tc>
        <w:tc>
          <w:tcPr>
            <w:tcW w:w="43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Proportion of the apprenticeship levy spent </w:t>
            </w:r>
          </w:p>
          <w:p w:rsidR="008113C0" w:rsidRPr="008113C0" w:rsidRDefault="008113C0" w:rsidP="008113C0"/>
        </w:tc>
        <w:tc>
          <w:tcPr>
            <w:tcW w:w="4678" w:type="dxa"/>
          </w:tcPr>
          <w:p w:rsidR="008113C0" w:rsidRPr="008113C0" w:rsidRDefault="008113C0" w:rsidP="008113C0"/>
        </w:tc>
        <w:tc>
          <w:tcPr>
            <w:tcW w:w="3321" w:type="dxa"/>
          </w:tcPr>
          <w:p w:rsidR="008113C0" w:rsidRPr="008113C0" w:rsidRDefault="008113C0" w:rsidP="008113C0">
            <w:r w:rsidRPr="008113C0">
              <w:t>Requires senior leadership decision making</w:t>
            </w:r>
          </w:p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Employment </w:t>
            </w:r>
          </w:p>
        </w:tc>
        <w:tc>
          <w:tcPr>
            <w:tcW w:w="4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>Proportion of the apprenticeship levy spent on local and/or target populations</w:t>
            </w:r>
          </w:p>
          <w:p w:rsidR="008113C0" w:rsidRPr="008113C0" w:rsidRDefault="008113C0" w:rsidP="008113C0">
            <w:r w:rsidRPr="008113C0">
              <w:t xml:space="preserve"> </w:t>
            </w:r>
          </w:p>
        </w:tc>
        <w:tc>
          <w:tcPr>
            <w:tcW w:w="4678" w:type="dxa"/>
          </w:tcPr>
          <w:p w:rsidR="008113C0" w:rsidRPr="008113C0" w:rsidRDefault="008113C0" w:rsidP="008113C0">
            <w:r w:rsidRPr="008113C0">
              <w:t>Increase apprenticeship from deprived communities</w:t>
            </w:r>
          </w:p>
        </w:tc>
        <w:tc>
          <w:tcPr>
            <w:tcW w:w="3321" w:type="dxa"/>
          </w:tcPr>
          <w:p w:rsidR="008113C0" w:rsidRPr="008113C0" w:rsidRDefault="008113C0" w:rsidP="008113C0"/>
        </w:tc>
      </w:tr>
      <w:tr w:rsidR="008113C0" w:rsidRPr="008113C0" w:rsidTr="00BB339D">
        <w:tc>
          <w:tcPr>
            <w:tcW w:w="1570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Employment </w:t>
            </w:r>
          </w:p>
        </w:tc>
        <w:tc>
          <w:tcPr>
            <w:tcW w:w="43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Default="008113C0" w:rsidP="008113C0">
            <w:r w:rsidRPr="008113C0">
              <w:t xml:space="preserve">Have a strategy or clear programme in place for community outreach and working with </w:t>
            </w:r>
            <w:r w:rsidRPr="008113C0">
              <w:lastRenderedPageBreak/>
              <w:t xml:space="preserve">educational organisations to support routes into training and work </w:t>
            </w:r>
          </w:p>
          <w:p w:rsidR="00BB339D" w:rsidRDefault="00BB339D" w:rsidP="008113C0"/>
          <w:p w:rsidR="00BB339D" w:rsidRPr="008113C0" w:rsidRDefault="00BB339D" w:rsidP="008113C0"/>
        </w:tc>
        <w:tc>
          <w:tcPr>
            <w:tcW w:w="4678" w:type="dxa"/>
          </w:tcPr>
          <w:p w:rsidR="008113C0" w:rsidRPr="008113C0" w:rsidRDefault="008113C0" w:rsidP="008113C0">
            <w:r w:rsidRPr="008113C0">
              <w:lastRenderedPageBreak/>
              <w:t>Better understanding and training on quality of care and schools should be part of wider ICS governance / decision making</w:t>
            </w:r>
            <w:bookmarkStart w:id="0" w:name="_GoBack"/>
            <w:bookmarkEnd w:id="0"/>
          </w:p>
          <w:p w:rsidR="008113C0" w:rsidRPr="008113C0" w:rsidRDefault="008113C0" w:rsidP="008113C0"/>
          <w:p w:rsidR="008113C0" w:rsidRPr="008113C0" w:rsidRDefault="008113C0" w:rsidP="008113C0">
            <w:pPr>
              <w:jc w:val="center"/>
            </w:pPr>
          </w:p>
        </w:tc>
        <w:tc>
          <w:tcPr>
            <w:tcW w:w="3321" w:type="dxa"/>
          </w:tcPr>
          <w:p w:rsidR="008113C0" w:rsidRPr="008113C0" w:rsidRDefault="008113C0" w:rsidP="008113C0"/>
          <w:p w:rsidR="008113C0" w:rsidRPr="008113C0" w:rsidRDefault="008113C0" w:rsidP="008113C0"/>
          <w:p w:rsidR="008113C0" w:rsidRPr="008113C0" w:rsidRDefault="008113C0" w:rsidP="008113C0"/>
          <w:p w:rsidR="008113C0" w:rsidRPr="008113C0" w:rsidRDefault="008113C0" w:rsidP="008113C0"/>
        </w:tc>
      </w:tr>
    </w:tbl>
    <w:tbl>
      <w:tblPr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536"/>
        <w:gridCol w:w="4536"/>
        <w:gridCol w:w="3321"/>
      </w:tblGrid>
      <w:tr w:rsidR="00BB339D" w:rsidRPr="008113C0" w:rsidTr="00BB339D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People from local and/or target populations  starting  training or hired to work in the trust, by band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More meaningful support for disadvantage young people to be prepared for work (eg closing down of Connections)</w:t>
            </w: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Proportion of staff in each band and/or staffing group who are local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Data can be collected through workforce </w:t>
            </w:r>
          </w:p>
        </w:tc>
      </w:tr>
      <w:tr w:rsidR="00BB339D" w:rsidRPr="008113C0" w:rsidTr="00BB339D">
        <w:trPr>
          <w:trHeight w:val="659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spacing w:after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Proportion of staff in each band and/or staffing group from target populations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80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Relative likelihood of appointment from shortlisting for local and/or target populations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414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Proportion of staff paid the real living wage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People in diverse communities to be paid the London living wage </w:t>
            </w: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35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spacing w:after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>Pay gap by target population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542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Leaver rate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315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>Leaver rate for local and/or target populations employed in the trust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945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Employment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>Proportion of staff who agree that their organisation acts fairly with regard to career progression/promotion regardless of ethnic background, gender, religion, sexual orientation, disability or age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NHS needs more black leaders in senior positions  to reflect the diverse population that they serve </w:t>
            </w:r>
          </w:p>
        </w:tc>
        <w:tc>
          <w:tcPr>
            <w:tcW w:w="3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  <w:p w:rsidR="001141C9" w:rsidRDefault="001141C9" w:rsidP="008113C0">
            <w:pPr>
              <w:rPr>
                <w:rFonts w:ascii="Calibri" w:hAnsi="Calibri" w:cs="Calibri"/>
                <w:color w:val="000000"/>
              </w:rPr>
            </w:pPr>
          </w:p>
          <w:p w:rsidR="001141C9" w:rsidRDefault="001141C9" w:rsidP="008113C0">
            <w:pPr>
              <w:rPr>
                <w:rFonts w:ascii="Calibri" w:hAnsi="Calibri" w:cs="Calibri"/>
                <w:color w:val="000000"/>
              </w:rPr>
            </w:pPr>
          </w:p>
          <w:p w:rsidR="001141C9" w:rsidRDefault="001141C9" w:rsidP="008113C0">
            <w:pPr>
              <w:rPr>
                <w:rFonts w:ascii="Calibri" w:hAnsi="Calibri" w:cs="Calibri"/>
                <w:color w:val="000000"/>
              </w:rPr>
            </w:pPr>
          </w:p>
          <w:p w:rsidR="001141C9" w:rsidRPr="008113C0" w:rsidRDefault="001141C9" w:rsidP="008113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B339D" w:rsidRPr="008113C0" w:rsidTr="00BB339D">
        <w:trPr>
          <w:trHeight w:val="945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39D" w:rsidRPr="008113C0" w:rsidRDefault="00BB339D" w:rsidP="00BB339D">
            <w:pPr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n-GB"/>
              </w:rPr>
              <w:lastRenderedPageBreak/>
              <w:t>Anchor Pillars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</w:tcPr>
          <w:p w:rsidR="00BB339D" w:rsidRPr="008113C0" w:rsidRDefault="00BB339D" w:rsidP="00BB339D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113C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Indicators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</w:tcPr>
          <w:p w:rsidR="00BB339D" w:rsidRPr="008113C0" w:rsidRDefault="00BB339D" w:rsidP="00BB339D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113C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Community Leaders Voice</w:t>
            </w: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</w:tcPr>
          <w:p w:rsidR="00BB339D" w:rsidRPr="008113C0" w:rsidRDefault="00BB339D" w:rsidP="00BB339D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Anchor Leads</w:t>
            </w:r>
          </w:p>
        </w:tc>
      </w:tr>
      <w:tr w:rsidR="00BB339D" w:rsidRPr="008113C0" w:rsidTr="00BB339D">
        <w:trPr>
          <w:trHeight w:val="945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39D" w:rsidRPr="008113C0" w:rsidRDefault="00BB339D" w:rsidP="00BB339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Employment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Have a process in place for gathering data (quantitative and/or qualitative) on the reasons that people are leaving employment, their onward destinations (e.g. NHS / non-NHS), and whether this varies by local and/or target populations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>This data can be collected when staff completed the leavers form</w:t>
            </w:r>
          </w:p>
        </w:tc>
      </w:tr>
      <w:tr w:rsidR="00BB339D" w:rsidRPr="008113C0" w:rsidTr="00BB339D">
        <w:trPr>
          <w:trHeight w:val="404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39D" w:rsidRPr="008113C0" w:rsidRDefault="00BB339D" w:rsidP="00BB339D">
            <w:pPr>
              <w:spacing w:after="2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Sickness absence rate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Data can be collected on staff rostering    system</w:t>
            </w:r>
          </w:p>
        </w:tc>
      </w:tr>
      <w:tr w:rsidR="00BB339D" w:rsidRPr="008113C0" w:rsidTr="00BB339D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39D" w:rsidRPr="008113C0" w:rsidRDefault="00BB339D" w:rsidP="00BB339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Employment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Staff health and wellbeing </w:t>
            </w:r>
          </w:p>
        </w:tc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BB339D" w:rsidRPr="008113C0" w:rsidRDefault="00BB339D" w:rsidP="00BB339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What initiatives can be put in place to reduce staff stress and burn-out </w:t>
            </w:r>
          </w:p>
        </w:tc>
      </w:tr>
    </w:tbl>
    <w:p w:rsidR="00BC6DB9" w:rsidRPr="008113C0" w:rsidRDefault="00BC6DB9" w:rsidP="008113C0"/>
    <w:p w:rsidR="008113C0" w:rsidRDefault="008113C0" w:rsidP="008113C0"/>
    <w:p w:rsidR="0053605F" w:rsidRDefault="0053605F" w:rsidP="008113C0"/>
    <w:p w:rsidR="0053605F" w:rsidRDefault="0053605F" w:rsidP="008113C0"/>
    <w:p w:rsidR="0053605F" w:rsidRDefault="0053605F" w:rsidP="008113C0"/>
    <w:p w:rsidR="0053605F" w:rsidRDefault="0053605F" w:rsidP="008113C0"/>
    <w:p w:rsidR="0053605F" w:rsidRDefault="0053605F" w:rsidP="008113C0"/>
    <w:p w:rsidR="0053605F" w:rsidRDefault="0053605F" w:rsidP="008113C0"/>
    <w:p w:rsidR="0053605F" w:rsidRPr="008113C0" w:rsidRDefault="0053605F" w:rsidP="008113C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85"/>
        <w:gridCol w:w="4506"/>
        <w:gridCol w:w="4394"/>
        <w:gridCol w:w="3463"/>
      </w:tblGrid>
      <w:tr w:rsidR="008113C0" w:rsidRPr="008113C0" w:rsidTr="000E5175">
        <w:tc>
          <w:tcPr>
            <w:tcW w:w="1585" w:type="dxa"/>
            <w:shd w:val="clear" w:color="auto" w:fill="0070C0"/>
          </w:tcPr>
          <w:p w:rsidR="008113C0" w:rsidRPr="008113C0" w:rsidRDefault="008113C0" w:rsidP="008113C0">
            <w:pPr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lastRenderedPageBreak/>
              <w:t xml:space="preserve">Anchor Pillars </w:t>
            </w:r>
          </w:p>
          <w:p w:rsidR="008113C0" w:rsidRPr="008113C0" w:rsidRDefault="008113C0" w:rsidP="008113C0">
            <w:pPr>
              <w:rPr>
                <w:b/>
                <w:color w:val="FFFFFF" w:themeColor="background1"/>
              </w:rPr>
            </w:pPr>
          </w:p>
        </w:tc>
        <w:tc>
          <w:tcPr>
            <w:tcW w:w="4506" w:type="dxa"/>
            <w:shd w:val="clear" w:color="auto" w:fill="0070C0"/>
          </w:tcPr>
          <w:p w:rsidR="008113C0" w:rsidRPr="008113C0" w:rsidRDefault="008113C0" w:rsidP="008113C0">
            <w:pPr>
              <w:jc w:val="center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Indicators</w:t>
            </w:r>
          </w:p>
        </w:tc>
        <w:tc>
          <w:tcPr>
            <w:tcW w:w="4394" w:type="dxa"/>
            <w:shd w:val="clear" w:color="auto" w:fill="0070C0"/>
          </w:tcPr>
          <w:p w:rsidR="008113C0" w:rsidRPr="008113C0" w:rsidRDefault="008113C0" w:rsidP="008113C0">
            <w:pPr>
              <w:jc w:val="center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Community Leaders voice</w:t>
            </w:r>
          </w:p>
        </w:tc>
        <w:tc>
          <w:tcPr>
            <w:tcW w:w="3463" w:type="dxa"/>
            <w:shd w:val="clear" w:color="auto" w:fill="0070C0"/>
          </w:tcPr>
          <w:p w:rsidR="008113C0" w:rsidRPr="008113C0" w:rsidRDefault="008113C0" w:rsidP="008113C0">
            <w:pPr>
              <w:jc w:val="center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Institution Leaders </w:t>
            </w:r>
          </w:p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>
            <w:r w:rsidRPr="008113C0">
              <w:t>Procurement</w:t>
            </w: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10% social value weighting in all contracts </w:t>
            </w:r>
          </w:p>
        </w:tc>
        <w:tc>
          <w:tcPr>
            <w:tcW w:w="4394" w:type="dxa"/>
          </w:tcPr>
          <w:p w:rsidR="008113C0" w:rsidRPr="008113C0" w:rsidRDefault="008113C0" w:rsidP="008113C0"/>
        </w:tc>
        <w:tc>
          <w:tcPr>
            <w:tcW w:w="3463" w:type="dxa"/>
          </w:tcPr>
          <w:p w:rsidR="008113C0" w:rsidRPr="008113C0" w:rsidRDefault="008113C0" w:rsidP="008113C0">
            <w:r w:rsidRPr="008113C0">
              <w:t>NWL ICS has endorsed 10% social value weighting in all contracts</w:t>
            </w:r>
          </w:p>
          <w:p w:rsidR="008113C0" w:rsidRPr="008113C0" w:rsidRDefault="008113C0" w:rsidP="008113C0"/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Procurement </w:t>
            </w: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Average social value weighting across all contracts in the last year, weighted by value of contract </w:t>
            </w:r>
          </w:p>
        </w:tc>
        <w:tc>
          <w:tcPr>
            <w:tcW w:w="4394" w:type="dxa"/>
          </w:tcPr>
          <w:p w:rsidR="008113C0" w:rsidRPr="008113C0" w:rsidRDefault="008113C0" w:rsidP="008113C0"/>
        </w:tc>
        <w:tc>
          <w:tcPr>
            <w:tcW w:w="3463" w:type="dxa"/>
          </w:tcPr>
          <w:p w:rsidR="008113C0" w:rsidRPr="008113C0" w:rsidRDefault="008113C0" w:rsidP="008113C0">
            <w:r w:rsidRPr="008113C0">
              <w:t>Decision to be made my procurement leaders for contracts in the last year or new contracts</w:t>
            </w:r>
          </w:p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Procurement </w:t>
            </w: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Have clear and specific organisational guidance in place for suppliers on social value expectations and priorities </w:t>
            </w:r>
          </w:p>
        </w:tc>
        <w:tc>
          <w:tcPr>
            <w:tcW w:w="4394" w:type="dxa"/>
          </w:tcPr>
          <w:p w:rsidR="008113C0" w:rsidRPr="008113C0" w:rsidRDefault="008113C0" w:rsidP="008113C0">
            <w:r w:rsidRPr="008113C0">
              <w:t>Community input on the social value they want</w:t>
            </w:r>
          </w:p>
          <w:p w:rsidR="008113C0" w:rsidRPr="008113C0" w:rsidRDefault="008113C0" w:rsidP="008113C0">
            <w:r w:rsidRPr="008113C0">
              <w:t xml:space="preserve">Ensure contracts are not so large to ensure wider supplier participation </w:t>
            </w:r>
          </w:p>
          <w:p w:rsidR="008113C0" w:rsidRPr="008113C0" w:rsidRDefault="008113C0" w:rsidP="008113C0"/>
        </w:tc>
        <w:tc>
          <w:tcPr>
            <w:tcW w:w="3463" w:type="dxa"/>
          </w:tcPr>
          <w:p w:rsidR="008113C0" w:rsidRPr="008113C0" w:rsidRDefault="008113C0" w:rsidP="008113C0"/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Procurement </w:t>
            </w: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If organisational social value guidance for suppliers exists, alignment of this with other anchor institution activities - for example, requiring suppliers to pay the real living wage </w:t>
            </w:r>
          </w:p>
        </w:tc>
        <w:tc>
          <w:tcPr>
            <w:tcW w:w="4394" w:type="dxa"/>
          </w:tcPr>
          <w:p w:rsidR="008113C0" w:rsidRPr="008113C0" w:rsidRDefault="008113C0" w:rsidP="008113C0">
            <w:r w:rsidRPr="008113C0">
              <w:t xml:space="preserve">NHS and social care to ensure subcontractors pay the real living wage </w:t>
            </w:r>
          </w:p>
          <w:p w:rsidR="008113C0" w:rsidRPr="008113C0" w:rsidRDefault="008113C0" w:rsidP="008113C0"/>
          <w:p w:rsidR="008113C0" w:rsidRPr="008113C0" w:rsidRDefault="008113C0" w:rsidP="008113C0">
            <w:r w:rsidRPr="008113C0">
              <w:t>Commit to being an equal opportunities employer</w:t>
            </w:r>
          </w:p>
        </w:tc>
        <w:tc>
          <w:tcPr>
            <w:tcW w:w="3463" w:type="dxa"/>
          </w:tcPr>
          <w:p w:rsidR="008113C0" w:rsidRPr="008113C0" w:rsidRDefault="008113C0" w:rsidP="008113C0"/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>
            <w:r w:rsidRPr="008113C0">
              <w:t xml:space="preserve"> </w:t>
            </w:r>
          </w:p>
          <w:p w:rsidR="008113C0" w:rsidRPr="008113C0" w:rsidRDefault="008113C0" w:rsidP="008113C0">
            <w:r w:rsidRPr="008113C0">
              <w:t xml:space="preserve">Procurement </w:t>
            </w: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>Have a process in place for contract managing specific social value commitments using KPIs and as a standard item in contract review meetings</w:t>
            </w:r>
          </w:p>
        </w:tc>
        <w:tc>
          <w:tcPr>
            <w:tcW w:w="4394" w:type="dxa"/>
          </w:tcPr>
          <w:p w:rsidR="008113C0" w:rsidRPr="008113C0" w:rsidRDefault="008113C0" w:rsidP="008113C0"/>
        </w:tc>
        <w:tc>
          <w:tcPr>
            <w:tcW w:w="3463" w:type="dxa"/>
          </w:tcPr>
          <w:p w:rsidR="008113C0" w:rsidRPr="008113C0" w:rsidRDefault="008113C0" w:rsidP="008113C0"/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/>
          <w:p w:rsidR="008113C0" w:rsidRPr="008113C0" w:rsidRDefault="008113C0" w:rsidP="008113C0">
            <w:r w:rsidRPr="008113C0">
              <w:t xml:space="preserve">Procurement </w:t>
            </w: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Have a process in place for identifying potential new suppliers, particularly local and/or target organisations, and working with them to support them to supply to the NHS </w:t>
            </w:r>
          </w:p>
        </w:tc>
        <w:tc>
          <w:tcPr>
            <w:tcW w:w="4394" w:type="dxa"/>
          </w:tcPr>
          <w:p w:rsidR="008113C0" w:rsidRPr="008113C0" w:rsidRDefault="008113C0" w:rsidP="008113C0">
            <w:r w:rsidRPr="008113C0">
              <w:t xml:space="preserve">Support local business through NHS tendering process and provide guidance and education </w:t>
            </w:r>
          </w:p>
        </w:tc>
        <w:tc>
          <w:tcPr>
            <w:tcW w:w="3463" w:type="dxa"/>
          </w:tcPr>
          <w:p w:rsidR="008113C0" w:rsidRPr="008113C0" w:rsidRDefault="008113C0" w:rsidP="008113C0"/>
        </w:tc>
      </w:tr>
      <w:tr w:rsidR="008113C0" w:rsidRPr="008113C0" w:rsidTr="000E5175">
        <w:tc>
          <w:tcPr>
            <w:tcW w:w="1585" w:type="dxa"/>
          </w:tcPr>
          <w:p w:rsidR="008113C0" w:rsidRPr="008113C0" w:rsidRDefault="008113C0" w:rsidP="008113C0">
            <w:r w:rsidRPr="008113C0">
              <w:t xml:space="preserve">Procurement </w:t>
            </w: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>Proportion of annual addressable spend that is with local and/or target organisations</w:t>
            </w:r>
          </w:p>
        </w:tc>
        <w:tc>
          <w:tcPr>
            <w:tcW w:w="4394" w:type="dxa"/>
          </w:tcPr>
          <w:p w:rsidR="008113C0" w:rsidRPr="008113C0" w:rsidRDefault="008113C0" w:rsidP="008113C0"/>
        </w:tc>
        <w:tc>
          <w:tcPr>
            <w:tcW w:w="3463" w:type="dxa"/>
          </w:tcPr>
          <w:p w:rsidR="008113C0" w:rsidRPr="008113C0" w:rsidRDefault="008113C0" w:rsidP="008113C0"/>
        </w:tc>
      </w:tr>
    </w:tbl>
    <w:tbl>
      <w:tblPr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4456"/>
        <w:gridCol w:w="4394"/>
        <w:gridCol w:w="3463"/>
      </w:tblGrid>
      <w:tr w:rsidR="008113C0" w:rsidRPr="008113C0" w:rsidTr="008B3937">
        <w:trPr>
          <w:trHeight w:val="630"/>
        </w:trPr>
        <w:tc>
          <w:tcPr>
            <w:tcW w:w="1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Procurement </w:t>
            </w:r>
          </w:p>
        </w:tc>
        <w:tc>
          <w:tcPr>
            <w:tcW w:w="4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Average length of time taken to pay suppliers 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 Streamline procurement processes </w:t>
            </w:r>
          </w:p>
        </w:tc>
      </w:tr>
    </w:tbl>
    <w:p w:rsidR="008113C0" w:rsidRPr="008113C0" w:rsidRDefault="008113C0" w:rsidP="008113C0">
      <w:pPr>
        <w:rPr>
          <w:b/>
        </w:rPr>
      </w:pPr>
    </w:p>
    <w:p w:rsidR="008113C0" w:rsidRPr="008113C0" w:rsidRDefault="008113C0" w:rsidP="008113C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85"/>
        <w:gridCol w:w="4506"/>
        <w:gridCol w:w="4536"/>
        <w:gridCol w:w="3321"/>
      </w:tblGrid>
      <w:tr w:rsidR="008113C0" w:rsidRPr="008113C0" w:rsidTr="001141C9">
        <w:trPr>
          <w:trHeight w:val="514"/>
        </w:trPr>
        <w:tc>
          <w:tcPr>
            <w:tcW w:w="1585" w:type="dxa"/>
            <w:shd w:val="clear" w:color="auto" w:fill="0070C0"/>
          </w:tcPr>
          <w:p w:rsidR="008113C0" w:rsidRPr="008113C0" w:rsidRDefault="008113C0" w:rsidP="008113C0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lastRenderedPageBreak/>
              <w:t xml:space="preserve">Anchor Pillars </w:t>
            </w:r>
          </w:p>
          <w:p w:rsidR="008113C0" w:rsidRPr="008113C0" w:rsidRDefault="008113C0" w:rsidP="008113C0">
            <w:pPr>
              <w:spacing w:after="160" w:line="259" w:lineRule="auto"/>
              <w:rPr>
                <w:b/>
                <w:color w:val="FFFFFF" w:themeColor="background1"/>
              </w:rPr>
            </w:pPr>
          </w:p>
        </w:tc>
        <w:tc>
          <w:tcPr>
            <w:tcW w:w="4506" w:type="dxa"/>
            <w:shd w:val="clear" w:color="auto" w:fill="0070C0"/>
          </w:tcPr>
          <w:p w:rsidR="008113C0" w:rsidRPr="008113C0" w:rsidRDefault="008113C0" w:rsidP="008113C0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Indicators</w:t>
            </w:r>
          </w:p>
        </w:tc>
        <w:tc>
          <w:tcPr>
            <w:tcW w:w="4536" w:type="dxa"/>
            <w:shd w:val="clear" w:color="auto" w:fill="0070C0"/>
          </w:tcPr>
          <w:p w:rsidR="008113C0" w:rsidRPr="008113C0" w:rsidRDefault="008113C0" w:rsidP="008113C0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Community Leaders voice</w:t>
            </w:r>
          </w:p>
        </w:tc>
        <w:tc>
          <w:tcPr>
            <w:tcW w:w="3321" w:type="dxa"/>
            <w:shd w:val="clear" w:color="auto" w:fill="0070C0"/>
          </w:tcPr>
          <w:p w:rsidR="008113C0" w:rsidRPr="008113C0" w:rsidRDefault="008113C0" w:rsidP="008113C0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Institution Leaders </w:t>
            </w:r>
          </w:p>
        </w:tc>
      </w:tr>
      <w:tr w:rsidR="008113C0" w:rsidRPr="008113C0" w:rsidTr="001141C9"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>Land and buildings</w:t>
            </w: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Have a process in place for embedding anchor procurement, employment and sustainability activities in new development - for example, working with local and/or target organisations or providing local employment opportunities 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>In the tendering process what initiatives communities will like companies to support</w:t>
            </w:r>
          </w:p>
        </w:tc>
        <w:tc>
          <w:tcPr>
            <w:tcW w:w="3321" w:type="dxa"/>
          </w:tcPr>
          <w:p w:rsidR="008113C0" w:rsidRPr="008113C0" w:rsidRDefault="008113C0" w:rsidP="008113C0"/>
        </w:tc>
      </w:tr>
      <w:tr w:rsidR="008113C0" w:rsidRPr="008113C0" w:rsidTr="001141C9"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>Land and buildings</w:t>
            </w:r>
          </w:p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Have provision for local community use (for example, accessible green space) included in any organisational strategy for new building and estates development 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3321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</w:tr>
      <w:tr w:rsidR="008113C0" w:rsidRPr="008113C0" w:rsidTr="001141C9"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>Land and buildings</w:t>
            </w: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Have a process in place for engaging with the local community in planning the design and use of new developments 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3321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</w:tr>
      <w:tr w:rsidR="008113C0" w:rsidRPr="008113C0" w:rsidTr="001141C9"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>Land and buildings</w:t>
            </w:r>
          </w:p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If engagement with the local community in planning new developments is taking place, representation in this process of target populations and organisations 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</w:p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3321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</w:tr>
      <w:tr w:rsidR="008113C0" w:rsidRPr="008113C0" w:rsidTr="001141C9"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 xml:space="preserve"> Land and buildings</w:t>
            </w: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>Have a policy or strategy in place for local community use of existing land and buildings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>Make unusable green space accessible to the communities i.e planning food or gardening</w:t>
            </w:r>
          </w:p>
        </w:tc>
        <w:tc>
          <w:tcPr>
            <w:tcW w:w="3321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</w:tr>
      <w:tr w:rsidR="008113C0" w:rsidRPr="008113C0" w:rsidTr="001141C9">
        <w:trPr>
          <w:trHeight w:val="37"/>
        </w:trPr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 xml:space="preserve">Land and buildings </w:t>
            </w:r>
          </w:p>
        </w:tc>
        <w:tc>
          <w:tcPr>
            <w:tcW w:w="4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Utilisation rates for buildings and spaces 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3321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</w:tr>
      <w:tr w:rsidR="008113C0" w:rsidRPr="008113C0" w:rsidTr="001141C9">
        <w:tc>
          <w:tcPr>
            <w:tcW w:w="1585" w:type="dxa"/>
          </w:tcPr>
          <w:p w:rsidR="008113C0" w:rsidRPr="008113C0" w:rsidRDefault="008113C0" w:rsidP="008113C0">
            <w:pPr>
              <w:spacing w:after="160" w:line="259" w:lineRule="auto"/>
            </w:pPr>
            <w:r w:rsidRPr="008113C0">
              <w:t xml:space="preserve">Land and buildings </w:t>
            </w:r>
          </w:p>
        </w:tc>
        <w:tc>
          <w:tcPr>
            <w:tcW w:w="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r w:rsidRPr="008113C0">
              <w:t xml:space="preserve">Bookings of rooms or space by target organisations and populations </w:t>
            </w:r>
          </w:p>
        </w:tc>
        <w:tc>
          <w:tcPr>
            <w:tcW w:w="4536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  <w:tc>
          <w:tcPr>
            <w:tcW w:w="3321" w:type="dxa"/>
          </w:tcPr>
          <w:p w:rsidR="008113C0" w:rsidRPr="008113C0" w:rsidRDefault="008113C0" w:rsidP="008113C0">
            <w:pPr>
              <w:spacing w:after="160" w:line="259" w:lineRule="auto"/>
            </w:pPr>
          </w:p>
        </w:tc>
      </w:tr>
    </w:tbl>
    <w:tbl>
      <w:tblPr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4555"/>
        <w:gridCol w:w="4536"/>
        <w:gridCol w:w="3321"/>
      </w:tblGrid>
      <w:tr w:rsidR="008113C0" w:rsidRPr="008113C0" w:rsidTr="001141C9">
        <w:trPr>
          <w:trHeight w:val="315"/>
        </w:trPr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13C0" w:rsidRPr="008113C0" w:rsidRDefault="008113C0" w:rsidP="008113C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13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Land and buildings </w:t>
            </w:r>
          </w:p>
        </w:tc>
        <w:tc>
          <w:tcPr>
            <w:tcW w:w="4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  <w:r w:rsidRPr="008113C0">
              <w:rPr>
                <w:rFonts w:ascii="Calibri" w:hAnsi="Calibri" w:cs="Calibri"/>
                <w:color w:val="000000"/>
              </w:rPr>
              <w:t xml:space="preserve">Proportion of land that is green or biodiverse space that can be used by the local community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8113C0" w:rsidRPr="008113C0" w:rsidRDefault="008113C0" w:rsidP="008113C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85"/>
        <w:gridCol w:w="4364"/>
        <w:gridCol w:w="3966"/>
        <w:gridCol w:w="4033"/>
      </w:tblGrid>
      <w:tr w:rsidR="00BB339D" w:rsidRPr="008113C0" w:rsidTr="009C19D2">
        <w:trPr>
          <w:trHeight w:val="514"/>
        </w:trPr>
        <w:tc>
          <w:tcPr>
            <w:tcW w:w="1585" w:type="dxa"/>
            <w:shd w:val="clear" w:color="auto" w:fill="0070C0"/>
          </w:tcPr>
          <w:p w:rsidR="00BB339D" w:rsidRPr="008113C0" w:rsidRDefault="00BB339D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Pillars </w:t>
            </w:r>
          </w:p>
          <w:p w:rsidR="00BB339D" w:rsidRPr="008113C0" w:rsidRDefault="00BB339D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</w:p>
        </w:tc>
        <w:tc>
          <w:tcPr>
            <w:tcW w:w="4364" w:type="dxa"/>
            <w:shd w:val="clear" w:color="auto" w:fill="0070C0"/>
          </w:tcPr>
          <w:p w:rsidR="00BB339D" w:rsidRPr="008113C0" w:rsidRDefault="00BB339D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Indicators</w:t>
            </w:r>
          </w:p>
        </w:tc>
        <w:tc>
          <w:tcPr>
            <w:tcW w:w="3966" w:type="dxa"/>
            <w:shd w:val="clear" w:color="auto" w:fill="0070C0"/>
          </w:tcPr>
          <w:p w:rsidR="00BB339D" w:rsidRPr="008113C0" w:rsidRDefault="00BB339D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Community Leaders voice</w:t>
            </w:r>
          </w:p>
        </w:tc>
        <w:tc>
          <w:tcPr>
            <w:tcW w:w="4033" w:type="dxa"/>
            <w:shd w:val="clear" w:color="auto" w:fill="0070C0"/>
          </w:tcPr>
          <w:p w:rsidR="00BB339D" w:rsidRPr="008113C0" w:rsidRDefault="00BB339D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Institution Leaders </w:t>
            </w:r>
          </w:p>
        </w:tc>
      </w:tr>
      <w:tr w:rsidR="009C19D2" w:rsidRPr="008113C0" w:rsidTr="009C19D2">
        <w:tc>
          <w:tcPr>
            <w:tcW w:w="1585" w:type="dxa"/>
          </w:tcPr>
          <w:p w:rsidR="009C19D2" w:rsidRPr="008113C0" w:rsidRDefault="009C19D2" w:rsidP="009C19D2">
            <w:pPr>
              <w:spacing w:after="160" w:line="259" w:lineRule="auto"/>
            </w:pPr>
            <w:r>
              <w:t xml:space="preserve">Sustainability </w:t>
            </w:r>
          </w:p>
        </w:tc>
        <w:tc>
          <w:tcPr>
            <w:tcW w:w="4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Aim to reach Net Zero </w:t>
            </w:r>
          </w:p>
        </w:tc>
        <w:tc>
          <w:tcPr>
            <w:tcW w:w="3966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  <w:tc>
          <w:tcPr>
            <w:tcW w:w="4033" w:type="dxa"/>
          </w:tcPr>
          <w:p w:rsidR="009C19D2" w:rsidRPr="008113C0" w:rsidRDefault="00E55CC4" w:rsidP="009C19D2">
            <w:r>
              <w:t>By 2040</w:t>
            </w:r>
          </w:p>
        </w:tc>
      </w:tr>
      <w:tr w:rsidR="009C19D2" w:rsidRPr="008113C0" w:rsidTr="009C19D2">
        <w:tc>
          <w:tcPr>
            <w:tcW w:w="1585" w:type="dxa"/>
          </w:tcPr>
          <w:p w:rsidR="009C19D2" w:rsidRPr="008113C0" w:rsidRDefault="009C19D2" w:rsidP="009C19D2">
            <w:r w:rsidRPr="009C19D2">
              <w:t>Sustainability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100% renewable electricity purchased by the Trust </w:t>
            </w:r>
          </w:p>
        </w:tc>
        <w:tc>
          <w:tcPr>
            <w:tcW w:w="3966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  <w:tc>
          <w:tcPr>
            <w:tcW w:w="4033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</w:tr>
      <w:tr w:rsidR="009C19D2" w:rsidRPr="008113C0" w:rsidTr="009C19D2">
        <w:tc>
          <w:tcPr>
            <w:tcW w:w="1585" w:type="dxa"/>
          </w:tcPr>
          <w:p w:rsidR="009C19D2" w:rsidRPr="008113C0" w:rsidRDefault="009C19D2" w:rsidP="009C19D2">
            <w:pPr>
              <w:spacing w:after="160" w:line="259" w:lineRule="auto"/>
            </w:pPr>
            <w:r w:rsidRPr="009C19D2">
              <w:t>Sustainability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Total carbon equivalent emissions resulting from building energy use </w:t>
            </w:r>
          </w:p>
        </w:tc>
        <w:tc>
          <w:tcPr>
            <w:tcW w:w="3966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  <w:tc>
          <w:tcPr>
            <w:tcW w:w="4033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</w:tr>
      <w:tr w:rsidR="009C19D2" w:rsidRPr="008113C0" w:rsidTr="009C19D2">
        <w:tc>
          <w:tcPr>
            <w:tcW w:w="1585" w:type="dxa"/>
          </w:tcPr>
          <w:p w:rsidR="009C19D2" w:rsidRPr="008113C0" w:rsidRDefault="009C19D2" w:rsidP="009C19D2">
            <w:r w:rsidRPr="009C19D2">
              <w:t>Sustainability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Carbon savings from Sin vestment in energy efficiency schemes </w:t>
            </w:r>
          </w:p>
        </w:tc>
        <w:tc>
          <w:tcPr>
            <w:tcW w:w="3966" w:type="dxa"/>
          </w:tcPr>
          <w:p w:rsidR="009C19D2" w:rsidRPr="008113C0" w:rsidRDefault="009C19D2" w:rsidP="009C19D2">
            <w:pPr>
              <w:spacing w:after="160" w:line="259" w:lineRule="auto"/>
            </w:pPr>
          </w:p>
          <w:p w:rsidR="009C19D2" w:rsidRPr="008113C0" w:rsidRDefault="009C19D2" w:rsidP="009C19D2">
            <w:pPr>
              <w:spacing w:after="160" w:line="259" w:lineRule="auto"/>
            </w:pPr>
          </w:p>
        </w:tc>
        <w:tc>
          <w:tcPr>
            <w:tcW w:w="4033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</w:tr>
      <w:tr w:rsidR="009C19D2" w:rsidRPr="008113C0" w:rsidTr="009C19D2">
        <w:tc>
          <w:tcPr>
            <w:tcW w:w="1585" w:type="dxa"/>
          </w:tcPr>
          <w:p w:rsidR="009C19D2" w:rsidRPr="008113C0" w:rsidRDefault="009C19D2" w:rsidP="009C19D2">
            <w:pPr>
              <w:spacing w:after="160" w:line="259" w:lineRule="auto"/>
            </w:pPr>
            <w:r w:rsidRPr="008113C0">
              <w:t xml:space="preserve"> </w:t>
            </w:r>
            <w:r w:rsidRPr="009C19D2">
              <w:t>Sustainability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a waste reuse scheme in place </w:t>
            </w:r>
          </w:p>
        </w:tc>
        <w:tc>
          <w:tcPr>
            <w:tcW w:w="3966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  <w:tc>
          <w:tcPr>
            <w:tcW w:w="4033" w:type="dxa"/>
          </w:tcPr>
          <w:p w:rsidR="009C19D2" w:rsidRPr="008113C0" w:rsidRDefault="00E55CC4" w:rsidP="009C19D2">
            <w:pPr>
              <w:spacing w:after="160" w:line="259" w:lineRule="auto"/>
            </w:pPr>
            <w:r>
              <w:t>yes</w:t>
            </w:r>
          </w:p>
        </w:tc>
      </w:tr>
      <w:tr w:rsidR="009C19D2" w:rsidRPr="008113C0" w:rsidTr="009C19D2">
        <w:trPr>
          <w:trHeight w:val="37"/>
        </w:trPr>
        <w:tc>
          <w:tcPr>
            <w:tcW w:w="1585" w:type="dxa"/>
          </w:tcPr>
          <w:p w:rsidR="009C19D2" w:rsidRPr="008113C0" w:rsidRDefault="009C19D2" w:rsidP="009C19D2">
            <w:pPr>
              <w:spacing w:after="160" w:line="259" w:lineRule="auto"/>
            </w:pPr>
            <w:r w:rsidRPr="009C19D2">
              <w:t>Sustainability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a waste reuse scheme exists, carbon savings from this scheme </w:t>
            </w:r>
          </w:p>
        </w:tc>
        <w:tc>
          <w:tcPr>
            <w:tcW w:w="3966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  <w:tc>
          <w:tcPr>
            <w:tcW w:w="4033" w:type="dxa"/>
          </w:tcPr>
          <w:p w:rsidR="009C19D2" w:rsidRPr="008113C0" w:rsidRDefault="009C19D2" w:rsidP="009C19D2">
            <w:pPr>
              <w:spacing w:after="160" w:line="259" w:lineRule="auto"/>
            </w:pPr>
          </w:p>
        </w:tc>
      </w:tr>
    </w:tbl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3969"/>
        <w:gridCol w:w="3969"/>
      </w:tblGrid>
      <w:tr w:rsidR="009C19D2" w:rsidTr="009C19D2">
        <w:trPr>
          <w:divId w:val="1291284949"/>
          <w:trHeight w:val="63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19D2" w:rsidRDefault="009C19D2" w:rsidP="009C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C19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Sustainability</w:t>
            </w:r>
          </w:p>
        </w:tc>
        <w:tc>
          <w:tcPr>
            <w:tcW w:w="43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fleet vehicles that are LEV </w:t>
            </w:r>
          </w:p>
        </w:tc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19D2" w:rsidTr="009C19D2">
        <w:trPr>
          <w:divId w:val="1291284949"/>
          <w:trHeight w:val="945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19D2" w:rsidRDefault="009C19D2" w:rsidP="009C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19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Sustainability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interventions available for staff, patients and the community that promote more sustainable travel options - for example, EV charging points, ride share or car pool schemes, showers and bike parking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6F7ABA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yes</w:t>
            </w:r>
          </w:p>
        </w:tc>
      </w:tr>
      <w:tr w:rsidR="009C19D2" w:rsidTr="009C19D2">
        <w:trPr>
          <w:divId w:val="1291284949"/>
          <w:trHeight w:val="63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19D2" w:rsidRDefault="009C19D2" w:rsidP="009C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19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Sustainability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on-site car parking spaces that are electric vehicle charging stations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19D2" w:rsidTr="009C19D2">
        <w:trPr>
          <w:divId w:val="1291284949"/>
          <w:trHeight w:val="63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19D2" w:rsidRDefault="009C19D2" w:rsidP="009C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19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Sustainability</w:t>
            </w:r>
          </w:p>
        </w:tc>
        <w:tc>
          <w:tcPr>
            <w:tcW w:w="43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staff travelling to work using public or active transport, broken down by mode </w:t>
            </w:r>
          </w:p>
        </w:tc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19D2" w:rsidTr="009C19D2">
        <w:trPr>
          <w:divId w:val="1291284949"/>
          <w:trHeight w:val="63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19D2" w:rsidRDefault="009C19D2" w:rsidP="009C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19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Sustainability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business mileage claims by mode of transport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19D2" w:rsidTr="009C19D2">
        <w:trPr>
          <w:divId w:val="1291284949"/>
          <w:trHeight w:val="63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19D2" w:rsidRDefault="009C19D2" w:rsidP="009C19D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C19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Sustainability</w:t>
            </w:r>
          </w:p>
        </w:tc>
        <w:tc>
          <w:tcPr>
            <w:tcW w:w="43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a strategy and/or programmes in place to increase the sustainability of on-site food (for patients, staff and visitors) </w:t>
            </w:r>
          </w:p>
        </w:tc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9C19D2" w:rsidRDefault="009C19D2" w:rsidP="009C19D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85"/>
        <w:gridCol w:w="4364"/>
        <w:gridCol w:w="3966"/>
        <w:gridCol w:w="4033"/>
      </w:tblGrid>
      <w:tr w:rsidR="00277312" w:rsidRPr="008113C0" w:rsidTr="009F4096">
        <w:trPr>
          <w:trHeight w:val="514"/>
        </w:trPr>
        <w:tc>
          <w:tcPr>
            <w:tcW w:w="1585" w:type="dxa"/>
            <w:shd w:val="clear" w:color="auto" w:fill="0070C0"/>
          </w:tcPr>
          <w:p w:rsidR="00277312" w:rsidRPr="008113C0" w:rsidRDefault="00277312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Pillars </w:t>
            </w:r>
          </w:p>
          <w:p w:rsidR="00277312" w:rsidRPr="008113C0" w:rsidRDefault="00277312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</w:p>
        </w:tc>
        <w:tc>
          <w:tcPr>
            <w:tcW w:w="4364" w:type="dxa"/>
            <w:shd w:val="clear" w:color="auto" w:fill="0070C0"/>
          </w:tcPr>
          <w:p w:rsidR="00277312" w:rsidRPr="008113C0" w:rsidRDefault="00277312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Indicators</w:t>
            </w:r>
          </w:p>
        </w:tc>
        <w:tc>
          <w:tcPr>
            <w:tcW w:w="3966" w:type="dxa"/>
            <w:shd w:val="clear" w:color="auto" w:fill="0070C0"/>
          </w:tcPr>
          <w:p w:rsidR="00277312" w:rsidRPr="008113C0" w:rsidRDefault="00277312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>Community Leaders voice</w:t>
            </w:r>
          </w:p>
        </w:tc>
        <w:tc>
          <w:tcPr>
            <w:tcW w:w="4033" w:type="dxa"/>
            <w:shd w:val="clear" w:color="auto" w:fill="0070C0"/>
          </w:tcPr>
          <w:p w:rsidR="00277312" w:rsidRPr="008113C0" w:rsidRDefault="00277312" w:rsidP="009F4096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8113C0">
              <w:rPr>
                <w:b/>
                <w:color w:val="FFFFFF" w:themeColor="background1"/>
              </w:rPr>
              <w:t xml:space="preserve">Anchor Institution Leaders </w:t>
            </w:r>
          </w:p>
        </w:tc>
      </w:tr>
      <w:tr w:rsidR="00277312" w:rsidRPr="008113C0" w:rsidTr="009F4096">
        <w:tc>
          <w:tcPr>
            <w:tcW w:w="1585" w:type="dxa"/>
          </w:tcPr>
          <w:p w:rsidR="00277312" w:rsidRPr="008113C0" w:rsidRDefault="00277312" w:rsidP="00277312">
            <w:pPr>
              <w:spacing w:after="160" w:line="259" w:lineRule="auto"/>
            </w:pPr>
            <w:r>
              <w:t xml:space="preserve">Partnership </w:t>
            </w:r>
          </w:p>
        </w:tc>
        <w:tc>
          <w:tcPr>
            <w:tcW w:w="4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anchor partnerships or networks in place with local NHS and non-NHS organisations</w:t>
            </w:r>
          </w:p>
        </w:tc>
        <w:tc>
          <w:tcPr>
            <w:tcW w:w="3966" w:type="dxa"/>
          </w:tcPr>
          <w:p w:rsidR="00277312" w:rsidRPr="008113C0" w:rsidRDefault="00277312" w:rsidP="00277312">
            <w:pPr>
              <w:spacing w:after="160" w:line="259" w:lineRule="auto"/>
            </w:pPr>
          </w:p>
        </w:tc>
        <w:tc>
          <w:tcPr>
            <w:tcW w:w="4033" w:type="dxa"/>
          </w:tcPr>
          <w:p w:rsidR="00277312" w:rsidRPr="008113C0" w:rsidRDefault="006F7ABA" w:rsidP="00277312">
            <w:r>
              <w:t>yes</w:t>
            </w:r>
          </w:p>
        </w:tc>
      </w:tr>
      <w:tr w:rsidR="00277312" w:rsidRPr="008113C0" w:rsidTr="009F4096">
        <w:tc>
          <w:tcPr>
            <w:tcW w:w="1585" w:type="dxa"/>
          </w:tcPr>
          <w:p w:rsidR="00277312" w:rsidRPr="008113C0" w:rsidRDefault="00277312" w:rsidP="00277312">
            <w:r>
              <w:t>Partnership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anchor partnerships or networks exist, have agreed common approaches in place for measurement and/or shared indicators</w:t>
            </w:r>
          </w:p>
        </w:tc>
        <w:tc>
          <w:tcPr>
            <w:tcW w:w="3966" w:type="dxa"/>
          </w:tcPr>
          <w:p w:rsidR="00277312" w:rsidRPr="008113C0" w:rsidRDefault="00277312" w:rsidP="00277312">
            <w:pPr>
              <w:spacing w:after="160" w:line="259" w:lineRule="auto"/>
            </w:pPr>
          </w:p>
        </w:tc>
        <w:tc>
          <w:tcPr>
            <w:tcW w:w="4033" w:type="dxa"/>
          </w:tcPr>
          <w:p w:rsidR="00277312" w:rsidRPr="008113C0" w:rsidRDefault="006F7ABA" w:rsidP="00277312">
            <w:pPr>
              <w:spacing w:after="160" w:line="259" w:lineRule="auto"/>
            </w:pPr>
            <w:r>
              <w:t>Common partnership principles</w:t>
            </w:r>
          </w:p>
        </w:tc>
      </w:tr>
      <w:tr w:rsidR="00277312" w:rsidRPr="008113C0" w:rsidTr="001A23EF">
        <w:tc>
          <w:tcPr>
            <w:tcW w:w="1585" w:type="dxa"/>
          </w:tcPr>
          <w:p w:rsidR="00277312" w:rsidRPr="008113C0" w:rsidRDefault="00277312" w:rsidP="00277312">
            <w:pPr>
              <w:spacing w:after="160" w:line="259" w:lineRule="auto"/>
            </w:pPr>
            <w:r>
              <w:t xml:space="preserve">Partnership </w:t>
            </w:r>
          </w:p>
        </w:tc>
        <w:tc>
          <w:tcPr>
            <w:tcW w:w="4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undertaken mapping of current and potential future partners in the local area, by anchor pillar </w:t>
            </w:r>
          </w:p>
        </w:tc>
        <w:tc>
          <w:tcPr>
            <w:tcW w:w="3966" w:type="dxa"/>
          </w:tcPr>
          <w:p w:rsidR="00277312" w:rsidRPr="008113C0" w:rsidRDefault="00277312" w:rsidP="00277312">
            <w:pPr>
              <w:spacing w:after="160" w:line="259" w:lineRule="auto"/>
            </w:pPr>
          </w:p>
        </w:tc>
        <w:tc>
          <w:tcPr>
            <w:tcW w:w="4033" w:type="dxa"/>
          </w:tcPr>
          <w:p w:rsidR="00277312" w:rsidRPr="008113C0" w:rsidRDefault="006F7ABA" w:rsidP="00277312">
            <w:pPr>
              <w:spacing w:after="160" w:line="259" w:lineRule="auto"/>
            </w:pPr>
            <w:r>
              <w:t>no</w:t>
            </w:r>
          </w:p>
        </w:tc>
      </w:tr>
      <w:tr w:rsidR="00277312" w:rsidRPr="008113C0" w:rsidTr="009F4096">
        <w:tc>
          <w:tcPr>
            <w:tcW w:w="1585" w:type="dxa"/>
          </w:tcPr>
          <w:p w:rsidR="00277312" w:rsidRPr="008113C0" w:rsidRDefault="00277312" w:rsidP="00277312">
            <w:r>
              <w:t xml:space="preserve">Partnership </w:t>
            </w:r>
          </w:p>
        </w:tc>
        <w:tc>
          <w:tcPr>
            <w:tcW w:w="43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partners involved in joint work on anchor activities including joint bids, proposals and planning, by anchor pillar</w:t>
            </w:r>
          </w:p>
        </w:tc>
        <w:tc>
          <w:tcPr>
            <w:tcW w:w="3966" w:type="dxa"/>
          </w:tcPr>
          <w:p w:rsidR="00277312" w:rsidRPr="008113C0" w:rsidRDefault="00277312" w:rsidP="00277312">
            <w:pPr>
              <w:spacing w:after="160" w:line="259" w:lineRule="auto"/>
            </w:pPr>
          </w:p>
          <w:p w:rsidR="00277312" w:rsidRPr="008113C0" w:rsidRDefault="00277312" w:rsidP="00277312">
            <w:pPr>
              <w:spacing w:after="160" w:line="259" w:lineRule="auto"/>
            </w:pPr>
          </w:p>
        </w:tc>
        <w:tc>
          <w:tcPr>
            <w:tcW w:w="4033" w:type="dxa"/>
          </w:tcPr>
          <w:p w:rsidR="00277312" w:rsidRPr="008113C0" w:rsidRDefault="006F7ABA" w:rsidP="00277312">
            <w:pPr>
              <w:spacing w:after="160" w:line="259" w:lineRule="auto"/>
            </w:pPr>
            <w:r>
              <w:t>no</w:t>
            </w:r>
          </w:p>
        </w:tc>
      </w:tr>
      <w:tr w:rsidR="00277312" w:rsidRPr="008113C0" w:rsidTr="001A23EF">
        <w:tc>
          <w:tcPr>
            <w:tcW w:w="1585" w:type="dxa"/>
          </w:tcPr>
          <w:p w:rsidR="00277312" w:rsidRPr="008113C0" w:rsidRDefault="00277312" w:rsidP="00277312">
            <w:pPr>
              <w:spacing w:after="160" w:line="259" w:lineRule="auto"/>
            </w:pPr>
            <w:r>
              <w:t xml:space="preserve">Partnership </w:t>
            </w:r>
          </w:p>
        </w:tc>
        <w:tc>
          <w:tcPr>
            <w:tcW w:w="4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a process in place (for example, a survey) to understand how partners (including the community) see the trust's role in relation to anchors, and the ease of working with the trust as an anchor partner </w:t>
            </w:r>
          </w:p>
        </w:tc>
        <w:tc>
          <w:tcPr>
            <w:tcW w:w="3966" w:type="dxa"/>
          </w:tcPr>
          <w:p w:rsidR="00277312" w:rsidRPr="008113C0" w:rsidRDefault="00277312" w:rsidP="00277312">
            <w:pPr>
              <w:spacing w:after="160" w:line="259" w:lineRule="auto"/>
            </w:pPr>
          </w:p>
        </w:tc>
        <w:tc>
          <w:tcPr>
            <w:tcW w:w="4033" w:type="dxa"/>
          </w:tcPr>
          <w:p w:rsidR="00277312" w:rsidRPr="008113C0" w:rsidRDefault="006F7ABA" w:rsidP="00277312">
            <w:pPr>
              <w:spacing w:after="160" w:line="259" w:lineRule="auto"/>
            </w:pPr>
            <w:r>
              <w:t>no</w:t>
            </w:r>
          </w:p>
        </w:tc>
      </w:tr>
      <w:tr w:rsidR="00277312" w:rsidRPr="008113C0" w:rsidTr="001A23EF">
        <w:trPr>
          <w:trHeight w:val="37"/>
        </w:trPr>
        <w:tc>
          <w:tcPr>
            <w:tcW w:w="1585" w:type="dxa"/>
          </w:tcPr>
          <w:p w:rsidR="00277312" w:rsidRPr="008113C0" w:rsidRDefault="00277312" w:rsidP="00277312">
            <w:pPr>
              <w:spacing w:after="160" w:line="259" w:lineRule="auto"/>
            </w:pPr>
            <w:r>
              <w:lastRenderedPageBreak/>
              <w:t xml:space="preserve">Partnership </w:t>
            </w:r>
          </w:p>
        </w:tc>
        <w:tc>
          <w:tcPr>
            <w:tcW w:w="4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a process in place for the community to input into decision making related to anchor strategy and delivery - for example through a programme of community outreach </w:t>
            </w:r>
          </w:p>
        </w:tc>
        <w:tc>
          <w:tcPr>
            <w:tcW w:w="3966" w:type="dxa"/>
          </w:tcPr>
          <w:p w:rsidR="00277312" w:rsidRPr="008113C0" w:rsidRDefault="00277312" w:rsidP="00277312">
            <w:pPr>
              <w:spacing w:after="160" w:line="259" w:lineRule="auto"/>
            </w:pPr>
          </w:p>
        </w:tc>
        <w:tc>
          <w:tcPr>
            <w:tcW w:w="4033" w:type="dxa"/>
          </w:tcPr>
          <w:p w:rsidR="00277312" w:rsidRPr="008113C0" w:rsidRDefault="006F7ABA" w:rsidP="00277312">
            <w:pPr>
              <w:spacing w:after="160" w:line="259" w:lineRule="auto"/>
            </w:pPr>
            <w:r>
              <w:t xml:space="preserve"> Develop a community of practice </w:t>
            </w:r>
          </w:p>
        </w:tc>
      </w:tr>
    </w:tbl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3969"/>
        <w:gridCol w:w="3969"/>
      </w:tblGrid>
      <w:tr w:rsidR="00277312" w:rsidTr="00277312">
        <w:trPr>
          <w:divId w:val="1071854467"/>
          <w:trHeight w:val="315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7312" w:rsidRPr="00277312" w:rsidRDefault="00277312" w:rsidP="0027731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312">
              <w:rPr>
                <w:rFonts w:ascii="Calibri" w:eastAsia="Times New Roman" w:hAnsi="Calibri" w:cs="Calibri"/>
                <w:color w:val="000000"/>
                <w:lang w:eastAsia="en-GB"/>
              </w:rPr>
              <w:t>Partnership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an anchors plan or strategy in place that is supported at board level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6F7ABA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In working progress </w:t>
            </w:r>
          </w:p>
        </w:tc>
      </w:tr>
      <w:tr w:rsidR="00277312" w:rsidTr="00277312">
        <w:trPr>
          <w:divId w:val="1071854467"/>
          <w:trHeight w:val="63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7312" w:rsidRPr="00277312" w:rsidRDefault="00277312" w:rsidP="0027731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3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Partnership 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an anchors plan or strategy exists, alignment with the local ICS social and economic development plan or strategy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6F7ABA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In working progress </w:t>
            </w:r>
          </w:p>
        </w:tc>
      </w:tr>
      <w:tr w:rsidR="00277312" w:rsidTr="00277312">
        <w:trPr>
          <w:divId w:val="1071854467"/>
          <w:trHeight w:val="63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7312" w:rsidRPr="00277312" w:rsidRDefault="00277312" w:rsidP="0027731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3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Partnership 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one or more anchor leads in place within the trust, who are responsible for strategy, linking with internal and external partners, advocating for anchor and overseeing delivery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277312" w:rsidP="002773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277312" w:rsidRDefault="006F7ABA" w:rsidP="0027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yes</w:t>
            </w:r>
          </w:p>
        </w:tc>
      </w:tr>
    </w:tbl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BC6DB9" w:rsidP="003C41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Please see link to the London Anchor Metrics  </w:t>
      </w:r>
      <w:hyperlink r:id="rId8" w:tgtFrame="_blank" w:history="1">
        <w:r w:rsidRPr="00BC6DB9">
          <w:rPr>
            <w:rFonts w:ascii="Calibri" w:eastAsia="Calibri" w:hAnsi="Calibri" w:cs="Times New Roman"/>
            <w:color w:val="0563C1"/>
            <w:u w:val="single"/>
          </w:rPr>
          <w:t>Measurement To</w:t>
        </w:r>
        <w:r w:rsidRPr="00BC6DB9">
          <w:rPr>
            <w:rFonts w:ascii="Calibri" w:eastAsia="Calibri" w:hAnsi="Calibri" w:cs="Times New Roman"/>
            <w:color w:val="0563C1"/>
            <w:u w:val="single"/>
          </w:rPr>
          <w:t>olkit for Health Anchors published today</w:t>
        </w:r>
      </w:hyperlink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Default="00FD7913" w:rsidP="003C4150">
      <w:pPr>
        <w:rPr>
          <w:rFonts w:cstheme="minorHAnsi"/>
          <w:b/>
          <w:sz w:val="24"/>
          <w:szCs w:val="24"/>
        </w:rPr>
      </w:pPr>
    </w:p>
    <w:p w:rsidR="00FD7913" w:rsidRPr="00EE497E" w:rsidRDefault="00FD7913" w:rsidP="003C4150">
      <w:pPr>
        <w:rPr>
          <w:rFonts w:cstheme="minorHAnsi"/>
          <w:b/>
          <w:sz w:val="24"/>
          <w:szCs w:val="24"/>
        </w:rPr>
      </w:pPr>
    </w:p>
    <w:sectPr w:rsidR="00FD7913" w:rsidRPr="00EE497E" w:rsidSect="008113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FC" w:rsidRDefault="00990AFC" w:rsidP="001026A5">
      <w:pPr>
        <w:spacing w:after="0" w:line="240" w:lineRule="auto"/>
      </w:pPr>
      <w:r>
        <w:separator/>
      </w:r>
    </w:p>
  </w:endnote>
  <w:endnote w:type="continuationSeparator" w:id="0">
    <w:p w:rsidR="00990AFC" w:rsidRDefault="00990AFC" w:rsidP="0010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FC" w:rsidRDefault="00990AFC" w:rsidP="001026A5">
      <w:pPr>
        <w:spacing w:after="0" w:line="240" w:lineRule="auto"/>
      </w:pPr>
      <w:r>
        <w:separator/>
      </w:r>
    </w:p>
  </w:footnote>
  <w:footnote w:type="continuationSeparator" w:id="0">
    <w:p w:rsidR="00990AFC" w:rsidRDefault="00990AFC" w:rsidP="0010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AA0"/>
    <w:multiLevelType w:val="hybridMultilevel"/>
    <w:tmpl w:val="6A06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4857"/>
    <w:multiLevelType w:val="hybridMultilevel"/>
    <w:tmpl w:val="34FE8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148F"/>
    <w:multiLevelType w:val="hybridMultilevel"/>
    <w:tmpl w:val="2AC0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3EE5"/>
    <w:multiLevelType w:val="hybridMultilevel"/>
    <w:tmpl w:val="3A10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4A0D"/>
    <w:multiLevelType w:val="hybridMultilevel"/>
    <w:tmpl w:val="C04EF4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995"/>
    <w:multiLevelType w:val="hybridMultilevel"/>
    <w:tmpl w:val="A248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C3115"/>
    <w:multiLevelType w:val="hybridMultilevel"/>
    <w:tmpl w:val="48901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09BE"/>
    <w:multiLevelType w:val="hybridMultilevel"/>
    <w:tmpl w:val="C56C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345"/>
    <w:multiLevelType w:val="multilevel"/>
    <w:tmpl w:val="CAF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A5"/>
    <w:rsid w:val="000E5175"/>
    <w:rsid w:val="001026A5"/>
    <w:rsid w:val="001141C9"/>
    <w:rsid w:val="00114C04"/>
    <w:rsid w:val="001E3688"/>
    <w:rsid w:val="0026351C"/>
    <w:rsid w:val="00277312"/>
    <w:rsid w:val="002E6550"/>
    <w:rsid w:val="002F0B71"/>
    <w:rsid w:val="00302BFE"/>
    <w:rsid w:val="00342406"/>
    <w:rsid w:val="00376D45"/>
    <w:rsid w:val="00377F9E"/>
    <w:rsid w:val="003C4150"/>
    <w:rsid w:val="003F0D90"/>
    <w:rsid w:val="004B56C6"/>
    <w:rsid w:val="005051F0"/>
    <w:rsid w:val="0053605F"/>
    <w:rsid w:val="005B72B7"/>
    <w:rsid w:val="005E5B45"/>
    <w:rsid w:val="006A4C43"/>
    <w:rsid w:val="006F7ABA"/>
    <w:rsid w:val="00723D82"/>
    <w:rsid w:val="007343DF"/>
    <w:rsid w:val="00777E0C"/>
    <w:rsid w:val="007E5518"/>
    <w:rsid w:val="008113C0"/>
    <w:rsid w:val="008270CF"/>
    <w:rsid w:val="00877472"/>
    <w:rsid w:val="0088683C"/>
    <w:rsid w:val="008B3937"/>
    <w:rsid w:val="008C7178"/>
    <w:rsid w:val="008D64E1"/>
    <w:rsid w:val="009602C2"/>
    <w:rsid w:val="00990AFC"/>
    <w:rsid w:val="009C19D2"/>
    <w:rsid w:val="00B466B7"/>
    <w:rsid w:val="00BB339D"/>
    <w:rsid w:val="00BC6DB9"/>
    <w:rsid w:val="00BD48C8"/>
    <w:rsid w:val="00CA43A3"/>
    <w:rsid w:val="00CD2908"/>
    <w:rsid w:val="00D401AF"/>
    <w:rsid w:val="00D550A6"/>
    <w:rsid w:val="00E53E14"/>
    <w:rsid w:val="00E55CC4"/>
    <w:rsid w:val="00E75613"/>
    <w:rsid w:val="00EE497E"/>
    <w:rsid w:val="00F32E46"/>
    <w:rsid w:val="00FB1801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A22F"/>
  <w15:chartTrackingRefBased/>
  <w15:docId w15:val="{204E6843-A891-4A9E-8459-FADDF51D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0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A5"/>
  </w:style>
  <w:style w:type="paragraph" w:styleId="Footer">
    <w:name w:val="footer"/>
    <w:basedOn w:val="Normal"/>
    <w:link w:val="FooterChar"/>
    <w:uiPriority w:val="99"/>
    <w:unhideWhenUsed/>
    <w:rsid w:val="0010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A5"/>
  </w:style>
  <w:style w:type="paragraph" w:styleId="NormalWeb">
    <w:name w:val="Normal (Web)"/>
    <w:basedOn w:val="Normal"/>
    <w:uiPriority w:val="99"/>
    <w:unhideWhenUsed/>
    <w:rsid w:val="005B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E497E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BC6DB9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BC6DB9"/>
  </w:style>
  <w:style w:type="character" w:customStyle="1" w:styleId="eop">
    <w:name w:val="eop"/>
    <w:basedOn w:val="DefaultParagraphFont"/>
    <w:rsid w:val="00BC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uclpartners.com%2Fanchor-institutions%2F&amp;data=05%7C01%7Ccharlene.alfred%40nhs.net%7Cf93a6c162ed34ffd676208db88796be5%7C37c354b285b047f5b22207b48d774ee3%7C0%7C0%7C638253827294301176%7CUnknown%7CTWFpbGZsb3d8eyJWIjoiMC4wLjAwMDAiLCJQIjoiV2luMzIiLCJBTiI6Ik1haWwiLCJXVCI6Mn0%3D%7C3000%7C%7C%7C&amp;sdata=UkfEKoxknctYluOFhIY96VAv0bZhl4LgEivIdHB3EwE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2267BDE2C9E45B5C9EF9D33C93315" ma:contentTypeVersion="17" ma:contentTypeDescription="Create a new document." ma:contentTypeScope="" ma:versionID="c5a20bc946acf8a97bd13af389eb2bcb">
  <xsd:schema xmlns:xsd="http://www.w3.org/2001/XMLSchema" xmlns:xs="http://www.w3.org/2001/XMLSchema" xmlns:p="http://schemas.microsoft.com/office/2006/metadata/properties" xmlns:ns1="http://schemas.microsoft.com/sharepoint/v3" xmlns:ns2="ef7bdd55-892d-4fcf-94a5-71f074f666bb" xmlns:ns3="1443d123-f4a4-497a-be51-faf00b932328" targetNamespace="http://schemas.microsoft.com/office/2006/metadata/properties" ma:root="true" ma:fieldsID="96b09d90a9ef5a23087179c7e4614fbf" ns1:_="" ns2:_="" ns3:_="">
    <xsd:import namespace="http://schemas.microsoft.com/sharepoint/v3"/>
    <xsd:import namespace="ef7bdd55-892d-4fcf-94a5-71f074f666bb"/>
    <xsd:import namespace="1443d123-f4a4-497a-be51-faf00b93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dd55-892d-4fcf-94a5-71f074f66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3d123-f4a4-497a-be51-faf00b9323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9f6645-eb3e-48d2-a6f7-c946b992af47}" ma:internalName="TaxCatchAll" ma:showField="CatchAllData" ma:web="1443d123-f4a4-497a-be51-faf00b932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C7155-2F4D-4E18-B24A-EC4E6AE54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8C146-9FC4-43E3-9842-E7A7FA86D46E}"/>
</file>

<file path=customXml/itemProps3.xml><?xml version="1.0" encoding="utf-8"?>
<ds:datastoreItem xmlns:ds="http://schemas.openxmlformats.org/officeDocument/2006/customXml" ds:itemID="{15008B59-6E8C-48D8-81F9-F0DB9DE06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Alfred</dc:creator>
  <cp:keywords/>
  <dc:description/>
  <cp:lastModifiedBy>Charlene Alfred</cp:lastModifiedBy>
  <cp:revision>2</cp:revision>
  <dcterms:created xsi:type="dcterms:W3CDTF">2023-08-21T13:57:00Z</dcterms:created>
  <dcterms:modified xsi:type="dcterms:W3CDTF">2023-08-21T13:57:00Z</dcterms:modified>
</cp:coreProperties>
</file>